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68425</wp:posOffset>
            </wp:positionH>
            <wp:positionV relativeFrom="paragraph">
              <wp:posOffset>0</wp:posOffset>
            </wp:positionV>
            <wp:extent cx="6343649" cy="1952624"/>
            <wp:effectExtent b="0" l="0" r="0" t="0"/>
            <wp:wrapNone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43649" cy="19526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spacing w:line="360" w:lineRule="auto"/>
        <w:ind w:left="0" w:right="25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spacing w:line="360" w:lineRule="auto"/>
        <w:ind w:left="0" w:right="-4.724409448817823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spacing w:line="360" w:lineRule="auto"/>
        <w:ind w:left="0" w:right="-4.724409448817823" w:firstLine="0"/>
        <w:jc w:val="center"/>
        <w:rPr/>
      </w:pPr>
      <w:r w:rsidDel="00000000" w:rsidR="00000000" w:rsidRPr="00000000">
        <w:rPr>
          <w:rtl w:val="0"/>
        </w:rPr>
        <w:t xml:space="preserve">PREFEITURA MUNICIPAL DE NITERÓI</w:t>
      </w:r>
    </w:p>
    <w:p w:rsidR="00000000" w:rsidDel="00000000" w:rsidP="00000000" w:rsidRDefault="00000000" w:rsidRPr="00000000" w14:paraId="0000000B">
      <w:pPr>
        <w:pStyle w:val="Heading1"/>
        <w:spacing w:line="360" w:lineRule="auto"/>
        <w:ind w:left="0" w:right="-4.724409448817823" w:firstLine="0"/>
        <w:jc w:val="center"/>
        <w:rPr/>
      </w:pPr>
      <w:r w:rsidDel="00000000" w:rsidR="00000000" w:rsidRPr="00000000">
        <w:rPr>
          <w:rtl w:val="0"/>
        </w:rPr>
        <w:t xml:space="preserve">SECRETARIA MUNICIPAL DAS CULTURAS</w:t>
      </w:r>
    </w:p>
    <w:p w:rsidR="00000000" w:rsidDel="00000000" w:rsidP="00000000" w:rsidRDefault="00000000" w:rsidRPr="00000000" w14:paraId="0000000C">
      <w:pPr>
        <w:pStyle w:val="Heading1"/>
        <w:spacing w:line="360" w:lineRule="auto"/>
        <w:ind w:left="0" w:right="-4.724409448817823" w:firstLine="0"/>
        <w:jc w:val="center"/>
        <w:rPr/>
      </w:pPr>
      <w:r w:rsidDel="00000000" w:rsidR="00000000" w:rsidRPr="00000000">
        <w:rPr>
          <w:rtl w:val="0"/>
        </w:rPr>
        <w:t xml:space="preserve">EDITAL DE CHAMAMENTO PÚBLICO SMC 02/2026</w:t>
      </w:r>
    </w:p>
    <w:p w:rsidR="00000000" w:rsidDel="00000000" w:rsidP="00000000" w:rsidRDefault="00000000" w:rsidRPr="00000000" w14:paraId="0000000D">
      <w:pPr>
        <w:spacing w:before="0" w:lineRule="auto"/>
        <w:ind w:left="0" w:right="-4.724409448817823" w:firstLine="0"/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EDITAL CULTURA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GEEK</w:t>
      </w:r>
    </w:p>
    <w:p w:rsidR="00000000" w:rsidDel="00000000" w:rsidP="00000000" w:rsidRDefault="00000000" w:rsidRPr="00000000" w14:paraId="0000000E">
      <w:pPr>
        <w:pStyle w:val="Heading1"/>
        <w:spacing w:before="147" w:lineRule="auto"/>
        <w:ind w:right="120" w:firstLine="0"/>
        <w:jc w:val="center"/>
        <w:rPr/>
      </w:pPr>
      <w:r w:rsidDel="00000000" w:rsidR="00000000" w:rsidRPr="00000000">
        <w:rPr>
          <w:rtl w:val="0"/>
        </w:rPr>
        <w:t xml:space="preserve">ANEXO 07 - DOCUMENTOS E MATERIAIS NECESSÁRIOS À HABILITAÇÃO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41" w:right="459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Documentos que serão exigidos aos proponentes selecionados. Sugerimos consultar pelos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links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situação das empresas já no ato da inscrição.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6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77"/>
        </w:tabs>
        <w:spacing w:after="0" w:before="0" w:line="240" w:lineRule="auto"/>
        <w:ind w:left="977" w:right="0" w:hanging="236.0000000000000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DOCUMENTAÇÃO DO PROPONENTE: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numPr>
          <w:ilvl w:val="1"/>
          <w:numId w:val="1"/>
        </w:numPr>
        <w:tabs>
          <w:tab w:val="left" w:leader="none" w:pos="1100"/>
        </w:tabs>
        <w:spacing w:after="0" w:before="0" w:line="240" w:lineRule="auto"/>
        <w:ind w:left="1100" w:right="0" w:hanging="359.00000000000006"/>
        <w:jc w:val="left"/>
        <w:rPr/>
      </w:pPr>
      <w:r w:rsidDel="00000000" w:rsidR="00000000" w:rsidRPr="00000000">
        <w:rPr>
          <w:rtl w:val="0"/>
        </w:rPr>
        <w:t xml:space="preserve">Pessoa jurídica COM ou SEM fins lucrativos: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7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31"/>
          <w:tab w:val="left" w:leader="none" w:pos="2543"/>
          <w:tab w:val="left" w:leader="none" w:pos="3278"/>
          <w:tab w:val="left" w:leader="none" w:pos="5293"/>
          <w:tab w:val="left" w:leader="none" w:pos="6024"/>
          <w:tab w:val="left" w:leader="none" w:pos="7419"/>
          <w:tab w:val="left" w:leader="none" w:pos="8898"/>
        </w:tabs>
        <w:spacing w:after="0" w:before="0" w:line="240" w:lineRule="auto"/>
        <w:ind w:left="711" w:right="944" w:firstLine="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Alvará</w:t>
        <w:tab/>
        <w:t xml:space="preserve">de</w:t>
        <w:tab/>
        <w:t xml:space="preserve">Funcionamento</w:t>
        <w:tab/>
        <w:t xml:space="preserve">da</w:t>
        <w:tab/>
        <w:t xml:space="preserve">empresa,</w:t>
        <w:tab/>
        <w:t xml:space="preserve">disponível</w:t>
        <w:tab/>
        <w:t xml:space="preserve">em: </w:t>
      </w:r>
      <w:hyperlink r:id="rId8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1154cc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https://fazenda.niteroi.rj.gov.br/alvara/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01"/>
          <w:tab w:val="left" w:leader="none" w:pos="5203"/>
          <w:tab w:val="left" w:leader="none" w:pos="8855"/>
        </w:tabs>
        <w:spacing w:after="0" w:before="0" w:line="240" w:lineRule="auto"/>
        <w:ind w:left="1101" w:right="938" w:hanging="36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Certificado de Regularidade do FGTS - CRF dentro da validade - pode ser obtida através</w:t>
        <w:tab/>
        <w:t xml:space="preserve">do</w:t>
        <w:tab/>
        <w:t xml:space="preserve">site: </w:t>
      </w:r>
      <w:hyperlink r:id="rId9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1154cc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https://consulta-crf.caixa.gov.br/consultacrf/pages/consultaEmpregador.jsf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6" w:right="946" w:firstLine="232.00000000000003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(OBS: Caso o resultado da consulta seja a mensagem “empregador não cadastrado”, a/o contratada/o deverá enviar um print da tela com esta mensagem)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01"/>
          <w:tab w:val="left" w:leader="none" w:pos="4818"/>
          <w:tab w:val="left" w:leader="none" w:pos="8892"/>
        </w:tabs>
        <w:spacing w:after="0" w:before="0" w:line="240" w:lineRule="auto"/>
        <w:ind w:left="1101" w:right="945" w:hanging="36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Certidão de Débitos Relativos a Créditos Tributários Federais e à Dívida Ativa da União,</w:t>
        <w:tab/>
        <w:t xml:space="preserve">disponível</w:t>
        <w:tab/>
        <w:t xml:space="preserve">em: </w:t>
      </w:r>
      <w:hyperlink r:id="rId10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1154cc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https://solucoes.receita.fazenda.gov.br/Servicos/certidaointernet/PJ/Emitir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01"/>
        </w:tabs>
        <w:spacing w:after="0" w:before="0" w:line="240" w:lineRule="auto"/>
        <w:ind w:left="1101" w:right="952" w:hanging="36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Certidões de Débitos Municipais/ Certidão Positiva com Efeito de Negativa, disponível em:</w:t>
      </w:r>
      <w:hyperlink r:id="rId11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1154cc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 https://fazenda.niteroi.rj.gov.br/certidao/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01"/>
        </w:tabs>
        <w:spacing w:after="0" w:before="0" w:line="240" w:lineRule="auto"/>
        <w:ind w:left="1101" w:right="944" w:hanging="36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Certidão Negativa de Débitos Trabalhistas, disponível em: </w:t>
      </w:r>
      <w:hyperlink r:id="rId12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1153cc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http://www.tst.jus.br/certidao</w:t>
        </w:r>
      </w:hyperlink>
      <w:r w:rsidDel="00000000" w:rsidR="00000000" w:rsidRPr="00000000">
        <w:rPr>
          <w:rtl w:val="0"/>
        </w:rPr>
      </w:r>
    </w:p>
    <w:sectPr>
      <w:pgSz w:h="16840" w:w="11920" w:orient="portrait"/>
      <w:pgMar w:bottom="280" w:top="180" w:left="850" w:right="85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978" w:hanging="237"/>
      </w:pPr>
      <w:rPr>
        <w:rFonts w:ascii="Calibri" w:cs="Calibri" w:eastAsia="Calibri" w:hAnsi="Calibri"/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102" w:hanging="360"/>
      </w:pPr>
      <w:rPr>
        <w:rFonts w:ascii="Arial" w:cs="Arial" w:eastAsia="Arial" w:hAnsi="Arial"/>
        <w:b w:val="1"/>
        <w:bCs w:val="1"/>
        <w:i w:val="0"/>
        <w:iCs w:val="0"/>
        <w:sz w:val="21"/>
        <w:szCs w:val="21"/>
      </w:rPr>
    </w:lvl>
    <w:lvl w:ilvl="2">
      <w:start w:val="1"/>
      <w:numFmt w:val="lowerLetter"/>
      <w:lvlText w:val="%3."/>
      <w:lvlJc w:val="left"/>
      <w:pPr>
        <w:ind w:left="712" w:hanging="720"/>
      </w:pPr>
      <w:rPr>
        <w:rFonts w:ascii="Arial" w:cs="Arial" w:eastAsia="Arial" w:hAnsi="Arial"/>
        <w:b w:val="0"/>
        <w:bCs w:val="0"/>
        <w:i w:val="0"/>
        <w:iCs w:val="0"/>
        <w:sz w:val="21"/>
        <w:szCs w:val="21"/>
      </w:rPr>
    </w:lvl>
    <w:lvl w:ilvl="3">
      <w:start w:val="0"/>
      <w:numFmt w:val="bullet"/>
      <w:lvlText w:val="•"/>
      <w:lvlJc w:val="left"/>
      <w:pPr>
        <w:ind w:left="2240" w:hanging="720"/>
      </w:pPr>
      <w:rPr/>
    </w:lvl>
    <w:lvl w:ilvl="4">
      <w:start w:val="0"/>
      <w:numFmt w:val="bullet"/>
      <w:lvlText w:val="•"/>
      <w:lvlJc w:val="left"/>
      <w:pPr>
        <w:ind w:left="3380" w:hanging="720"/>
      </w:pPr>
      <w:rPr/>
    </w:lvl>
    <w:lvl w:ilvl="5">
      <w:start w:val="0"/>
      <w:numFmt w:val="bullet"/>
      <w:lvlText w:val="•"/>
      <w:lvlJc w:val="left"/>
      <w:pPr>
        <w:ind w:left="4520" w:hanging="720"/>
      </w:pPr>
      <w:rPr/>
    </w:lvl>
    <w:lvl w:ilvl="6">
      <w:start w:val="0"/>
      <w:numFmt w:val="bullet"/>
      <w:lvlText w:val="•"/>
      <w:lvlJc w:val="left"/>
      <w:pPr>
        <w:ind w:left="5660" w:hanging="720"/>
      </w:pPr>
      <w:rPr/>
    </w:lvl>
    <w:lvl w:ilvl="7">
      <w:start w:val="0"/>
      <w:numFmt w:val="bullet"/>
      <w:lvlText w:val="•"/>
      <w:lvlJc w:val="left"/>
      <w:pPr>
        <w:ind w:left="6800" w:hanging="720"/>
      </w:pPr>
      <w:rPr/>
    </w:lvl>
    <w:lvl w:ilvl="8">
      <w:start w:val="0"/>
      <w:numFmt w:val="bullet"/>
      <w:lvlText w:val="•"/>
      <w:lvlJc w:val="left"/>
      <w:pPr>
        <w:ind w:left="7940" w:hanging="72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rFonts w:ascii="Calibri" w:cs="Calibri" w:eastAsia="Calibri" w:hAnsi="Calibri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/>
    <w:rPr>
      <w:rFonts w:ascii="Calibri" w:cs="Calibri" w:eastAsia="Calibri" w:hAnsi="Calibri"/>
      <w:sz w:val="24"/>
      <w:szCs w:val="24"/>
      <w:lang w:bidi="ar-SA" w:eastAsia="en-US" w:val="pt-PT"/>
    </w:rPr>
  </w:style>
  <w:style w:type="paragraph" w:styleId="ListParagraph">
    <w:name w:val="List Paragraph"/>
    <w:basedOn w:val="Normal"/>
    <w:uiPriority w:val="1"/>
    <w:qFormat w:val="1"/>
    <w:pPr>
      <w:ind w:left="1101" w:hanging="360"/>
      <w:jc w:val="both"/>
    </w:pPr>
    <w:rPr>
      <w:rFonts w:ascii="Calibri" w:cs="Calibri" w:eastAsia="Calibri" w:hAnsi="Calibri"/>
      <w:lang w:bidi="ar-SA" w:eastAsia="en-US" w:val="pt-PT"/>
    </w:rPr>
  </w:style>
  <w:style w:type="paragraph" w:styleId="TableParagraph">
    <w:name w:val="Table Paragraph"/>
    <w:basedOn w:val="Normal"/>
    <w:uiPriority w:val="1"/>
    <w:qFormat w:val="1"/>
    <w:pPr/>
    <w:rPr>
      <w:lang w:bidi="ar-SA" w:eastAsia="en-US" w:val="pt-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fazenda.niteroi.rj.gov.br/certidao/" TargetMode="External"/><Relationship Id="rId10" Type="http://schemas.openxmlformats.org/officeDocument/2006/relationships/hyperlink" Target="https://solucoes.receita.fazenda.gov.br/Servicos/certidaointernet/PJ/Emitir" TargetMode="External"/><Relationship Id="rId12" Type="http://schemas.openxmlformats.org/officeDocument/2006/relationships/hyperlink" Target="http://www.tst.jus.br/certidao" TargetMode="External"/><Relationship Id="rId9" Type="http://schemas.openxmlformats.org/officeDocument/2006/relationships/hyperlink" Target="https://consulta-crf.caixa.gov.br/consultacrf/pages/consultaEmpregador.jsf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fazenda.niteroi.rj.gov.br/alvar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j8QgbDn/5AxhM/k0zTrGzcawTw==">CgMxLjA4AHIhMVdIc05vNm9vRkVvZjZlQUtOMHNqSFd0QTA3cnhJWW5p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2026-09-21T19:24:29Z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2026-09-21T00:00:00Z</vt:filetime>
  </property>
  <property fmtid="{D5CDD505-2E9C-101B-9397-08002B2CF9AE}" pid="4" name="Producer">
    <vt:lpwstr>Skia/PDF m155 Google Docs Renderer</vt:lpwstr>
  </property>
  <property fmtid="{D5CDD505-2E9C-101B-9397-08002B2CF9AE}" pid="5" name="LastSaved">
    <vt:filetime>2026-09-21T00:00:00Z</vt:filetime>
  </property>
</Properties>
</file>